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2D8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7E441BB6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15E80DC1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026469AD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6136CD0A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0E64E582" w14:textId="77777777" w:rsidR="00B046AC" w:rsidRPr="00400D52" w:rsidRDefault="00B046AC" w:rsidP="00B046AC">
      <w:pPr>
        <w:suppressAutoHyphens w:val="0"/>
        <w:spacing w:after="160" w:line="259" w:lineRule="auto"/>
        <w:jc w:val="left"/>
        <w:rPr>
          <w:szCs w:val="24"/>
          <w:lang w:val="en-GB"/>
        </w:rPr>
      </w:pPr>
    </w:p>
    <w:p w14:paraId="4FC573C8" w14:textId="77777777" w:rsidR="00B046AC" w:rsidRDefault="00B046AC" w:rsidP="00B046AC">
      <w:pPr>
        <w:suppressAutoHyphens w:val="0"/>
        <w:spacing w:after="160" w:line="259" w:lineRule="auto"/>
        <w:jc w:val="center"/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t>Renaissance Aristotelianism in Southeast Europe:</w:t>
      </w:r>
    </w:p>
    <w:p w14:paraId="64F7AB67" w14:textId="77777777" w:rsidR="00B046AC" w:rsidRDefault="00B046AC" w:rsidP="00B046AC">
      <w:pPr>
        <w:suppressAutoHyphens w:val="0"/>
        <w:spacing w:after="160" w:line="259" w:lineRule="auto"/>
        <w:jc w:val="center"/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t xml:space="preserve">Scholarship, Metaphysics, and </w:t>
      </w:r>
    </w:p>
    <w:p w14:paraId="0C776FE7" w14:textId="77777777" w:rsidR="00B046AC" w:rsidRPr="00463040" w:rsidRDefault="00B046AC" w:rsidP="00B046AC">
      <w:pPr>
        <w:suppressAutoHyphens w:val="0"/>
        <w:spacing w:after="160" w:line="259" w:lineRule="auto"/>
        <w:jc w:val="center"/>
        <w:rPr>
          <w:i/>
          <w:iCs/>
          <w:sz w:val="44"/>
          <w:szCs w:val="44"/>
          <w:lang w:val="en-GB"/>
        </w:rPr>
      </w:pPr>
      <w:r>
        <w:rPr>
          <w:i/>
          <w:iCs/>
          <w:sz w:val="44"/>
          <w:szCs w:val="44"/>
          <w:lang w:val="en-GB"/>
        </w:rPr>
        <w:t>Interactions with Platonism</w:t>
      </w:r>
    </w:p>
    <w:p w14:paraId="5D0CB075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36"/>
          <w:szCs w:val="36"/>
          <w:lang w:val="en-GB"/>
        </w:rPr>
      </w:pPr>
    </w:p>
    <w:p w14:paraId="4ADA538B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36"/>
          <w:szCs w:val="36"/>
          <w:lang w:val="en-GB"/>
        </w:rPr>
      </w:pPr>
    </w:p>
    <w:p w14:paraId="34C3C993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36"/>
          <w:szCs w:val="36"/>
          <w:lang w:val="en-GB"/>
        </w:rPr>
      </w:pPr>
    </w:p>
    <w:p w14:paraId="5618CA38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36"/>
          <w:szCs w:val="36"/>
          <w:lang w:val="en-GB"/>
        </w:rPr>
      </w:pPr>
    </w:p>
    <w:p w14:paraId="10129A91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36"/>
          <w:szCs w:val="36"/>
          <w:lang w:val="en-GB"/>
        </w:rPr>
      </w:pPr>
    </w:p>
    <w:p w14:paraId="34C06672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  <w:r w:rsidRPr="00400D52">
        <w:rPr>
          <w:sz w:val="28"/>
          <w:szCs w:val="28"/>
          <w:lang w:val="en-GB"/>
        </w:rPr>
        <w:t>Edited by</w:t>
      </w:r>
    </w:p>
    <w:p w14:paraId="5426FEFA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  <w:r w:rsidRPr="00400D52">
        <w:rPr>
          <w:sz w:val="28"/>
          <w:szCs w:val="28"/>
          <w:lang w:val="en-GB"/>
        </w:rPr>
        <w:t xml:space="preserve">Pavel </w:t>
      </w:r>
      <w:proofErr w:type="spellStart"/>
      <w:r w:rsidRPr="00400D52">
        <w:rPr>
          <w:sz w:val="28"/>
          <w:szCs w:val="28"/>
          <w:lang w:val="en-GB"/>
        </w:rPr>
        <w:t>Gregorić</w:t>
      </w:r>
      <w:proofErr w:type="spellEnd"/>
      <w:r>
        <w:rPr>
          <w:sz w:val="28"/>
          <w:szCs w:val="28"/>
          <w:lang w:val="en-GB"/>
        </w:rPr>
        <w:t xml:space="preserve"> and Martino Rossi Monti</w:t>
      </w:r>
    </w:p>
    <w:p w14:paraId="7710954F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523CE565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05392A8A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7D21913F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0BCE2908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7F08D738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</w:p>
    <w:p w14:paraId="11356BD8" w14:textId="77777777" w:rsidR="00B046AC" w:rsidRDefault="00B046AC" w:rsidP="00B046AC">
      <w:pPr>
        <w:suppressAutoHyphens w:val="0"/>
        <w:spacing w:after="160" w:line="259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BLOOMSBURY ACADEMIC</w:t>
      </w:r>
    </w:p>
    <w:p w14:paraId="4976F18B" w14:textId="77777777" w:rsidR="00B046AC" w:rsidRPr="00400D52" w:rsidRDefault="00B046AC" w:rsidP="00B046AC">
      <w:pPr>
        <w:suppressAutoHyphens w:val="0"/>
        <w:spacing w:after="160" w:line="259" w:lineRule="auto"/>
        <w:jc w:val="center"/>
        <w:rPr>
          <w:szCs w:val="24"/>
          <w:lang w:val="en-GB"/>
        </w:rPr>
      </w:pPr>
      <w:r>
        <w:rPr>
          <w:sz w:val="28"/>
          <w:szCs w:val="28"/>
          <w:lang w:val="en-GB"/>
        </w:rPr>
        <w:t>London, 2024</w:t>
      </w:r>
      <w:r w:rsidRPr="00400D52">
        <w:rPr>
          <w:szCs w:val="24"/>
          <w:lang w:val="en-GB"/>
        </w:rPr>
        <w:br w:type="page"/>
      </w:r>
    </w:p>
    <w:p w14:paraId="731D448C" w14:textId="77777777" w:rsidR="00B046AC" w:rsidRDefault="00B046AC" w:rsidP="009449FD">
      <w:pPr>
        <w:jc w:val="center"/>
        <w:rPr>
          <w:sz w:val="32"/>
          <w:szCs w:val="22"/>
          <w:lang w:val="en-GB"/>
        </w:rPr>
      </w:pPr>
      <w:r w:rsidRPr="00400D52">
        <w:rPr>
          <w:sz w:val="32"/>
          <w:szCs w:val="22"/>
          <w:lang w:val="en-GB"/>
        </w:rPr>
        <w:lastRenderedPageBreak/>
        <w:t>Table of Contents</w:t>
      </w:r>
    </w:p>
    <w:p w14:paraId="17287C0C" w14:textId="7B9677C9" w:rsidR="009449FD" w:rsidRDefault="009449FD" w:rsidP="009449FD">
      <w:pPr>
        <w:jc w:val="left"/>
        <w:rPr>
          <w:lang w:val="en-GB"/>
        </w:rPr>
      </w:pPr>
    </w:p>
    <w:p w14:paraId="069200A5" w14:textId="1A1CC2DE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 xml:space="preserve">Pavel </w:t>
      </w:r>
      <w:proofErr w:type="spellStart"/>
      <w:r>
        <w:rPr>
          <w:lang w:val="en-GB"/>
        </w:rPr>
        <w:t>Gregorić</w:t>
      </w:r>
      <w:proofErr w:type="spellEnd"/>
      <w:r>
        <w:rPr>
          <w:lang w:val="en-GB"/>
        </w:rPr>
        <w:t xml:space="preserve"> and Martino Rossi Monti</w:t>
      </w:r>
    </w:p>
    <w:p w14:paraId="492C12BC" w14:textId="2C0864E6" w:rsidR="009449FD" w:rsidRDefault="009449FD" w:rsidP="009449FD">
      <w:pPr>
        <w:jc w:val="left"/>
        <w:rPr>
          <w:lang w:val="en-GB"/>
        </w:rPr>
      </w:pPr>
      <w:r>
        <w:rPr>
          <w:i/>
          <w:iCs/>
          <w:lang w:val="en-GB"/>
        </w:rPr>
        <w:t>Introduction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1</w:t>
      </w:r>
    </w:p>
    <w:p w14:paraId="40CB6FA3" w14:textId="77777777" w:rsidR="009449FD" w:rsidRDefault="009449FD" w:rsidP="009449FD">
      <w:pPr>
        <w:jc w:val="left"/>
        <w:rPr>
          <w:lang w:val="en-GB"/>
        </w:rPr>
      </w:pPr>
    </w:p>
    <w:p w14:paraId="62DC30BB" w14:textId="06C80258" w:rsidR="009449FD" w:rsidRPr="009449FD" w:rsidRDefault="009449FD" w:rsidP="009449FD">
      <w:pPr>
        <w:jc w:val="center"/>
        <w:rPr>
          <w:smallCaps/>
          <w:lang w:val="en-GB"/>
        </w:rPr>
      </w:pPr>
      <w:r w:rsidRPr="009449FD">
        <w:rPr>
          <w:smallCaps/>
          <w:lang w:val="en-GB"/>
        </w:rPr>
        <w:t>Part One: Scholarship</w:t>
      </w:r>
    </w:p>
    <w:p w14:paraId="43090F20" w14:textId="77777777" w:rsidR="009449FD" w:rsidRDefault="009449FD" w:rsidP="009449FD">
      <w:pPr>
        <w:jc w:val="left"/>
        <w:rPr>
          <w:lang w:val="en-GB"/>
        </w:rPr>
      </w:pPr>
    </w:p>
    <w:p w14:paraId="10E22E2A" w14:textId="4AED56DB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>Paul Richard Blum</w:t>
      </w:r>
    </w:p>
    <w:p w14:paraId="2531CFCB" w14:textId="77777777" w:rsidR="009449FD" w:rsidRDefault="009449FD" w:rsidP="009449FD">
      <w:pPr>
        <w:jc w:val="left"/>
        <w:rPr>
          <w:i/>
          <w:iCs/>
          <w:lang w:val="en-GB"/>
        </w:rPr>
      </w:pPr>
      <w:r w:rsidRPr="009449FD">
        <w:rPr>
          <w:i/>
          <w:iCs/>
          <w:lang w:val="en-GB"/>
        </w:rPr>
        <w:t xml:space="preserve">From Humanist to </w:t>
      </w:r>
      <w:proofErr w:type="spellStart"/>
      <w:r w:rsidRPr="009449FD">
        <w:rPr>
          <w:i/>
          <w:iCs/>
          <w:lang w:val="en-GB"/>
        </w:rPr>
        <w:t>Encyclopedic</w:t>
      </w:r>
      <w:proofErr w:type="spellEnd"/>
      <w:r w:rsidRPr="009449FD">
        <w:rPr>
          <w:i/>
          <w:iCs/>
          <w:lang w:val="en-GB"/>
        </w:rPr>
        <w:t xml:space="preserve"> Knowledge: </w:t>
      </w:r>
    </w:p>
    <w:p w14:paraId="79EE7416" w14:textId="6DB0A074" w:rsidR="009449FD" w:rsidRDefault="009449FD" w:rsidP="009449FD">
      <w:pPr>
        <w:jc w:val="left"/>
        <w:rPr>
          <w:lang w:val="en-GB"/>
        </w:rPr>
      </w:pPr>
      <w:r w:rsidRPr="009449FD">
        <w:rPr>
          <w:i/>
          <w:iCs/>
          <w:lang w:val="en-GB"/>
        </w:rPr>
        <w:t xml:space="preserve">Antonio Zara’s </w:t>
      </w:r>
      <w:proofErr w:type="spellStart"/>
      <w:r w:rsidRPr="009449FD">
        <w:rPr>
          <w:lang w:val="en-GB"/>
        </w:rPr>
        <w:t>Anatomia</w:t>
      </w:r>
      <w:proofErr w:type="spellEnd"/>
      <w:r w:rsidRPr="009449FD">
        <w:rPr>
          <w:lang w:val="en-GB"/>
        </w:rPr>
        <w:t xml:space="preserve"> </w:t>
      </w:r>
      <w:proofErr w:type="spellStart"/>
      <w:r w:rsidRPr="009449FD">
        <w:rPr>
          <w:lang w:val="en-GB"/>
        </w:rPr>
        <w:t>ingeniorum</w:t>
      </w:r>
      <w:proofErr w:type="spellEnd"/>
      <w:r w:rsidRPr="009449FD">
        <w:rPr>
          <w:lang w:val="en-GB"/>
        </w:rPr>
        <w:t xml:space="preserve"> et </w:t>
      </w:r>
      <w:proofErr w:type="spellStart"/>
      <w:r w:rsidRPr="009449FD">
        <w:rPr>
          <w:lang w:val="en-GB"/>
        </w:rPr>
        <w:t>scientiarum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8</w:t>
      </w:r>
    </w:p>
    <w:p w14:paraId="102C0A47" w14:textId="77777777" w:rsidR="009449FD" w:rsidRDefault="009449FD" w:rsidP="009449FD">
      <w:pPr>
        <w:jc w:val="left"/>
        <w:rPr>
          <w:lang w:val="en-GB"/>
        </w:rPr>
      </w:pPr>
    </w:p>
    <w:p w14:paraId="49036F0C" w14:textId="77777777" w:rsidR="009449FD" w:rsidRDefault="009449FD" w:rsidP="009449FD">
      <w:pPr>
        <w:jc w:val="left"/>
        <w:rPr>
          <w:lang w:val="en-GB"/>
        </w:rPr>
      </w:pPr>
      <w:r w:rsidRPr="009449FD">
        <w:rPr>
          <w:lang w:val="en-GB"/>
        </w:rPr>
        <w:t xml:space="preserve">Ivana </w:t>
      </w:r>
      <w:proofErr w:type="spellStart"/>
      <w:r w:rsidRPr="009449FD">
        <w:rPr>
          <w:lang w:val="en-GB"/>
        </w:rPr>
        <w:t>Skuhala</w:t>
      </w:r>
      <w:proofErr w:type="spellEnd"/>
      <w:r w:rsidRPr="009449FD">
        <w:rPr>
          <w:lang w:val="en-GB"/>
        </w:rPr>
        <w:t xml:space="preserve"> </w:t>
      </w:r>
      <w:proofErr w:type="spellStart"/>
      <w:r w:rsidRPr="009449FD">
        <w:rPr>
          <w:lang w:val="en-GB"/>
        </w:rPr>
        <w:t>Karasman</w:t>
      </w:r>
      <w:proofErr w:type="spellEnd"/>
      <w:r w:rsidRPr="009449FD">
        <w:rPr>
          <w:lang w:val="en-GB"/>
        </w:rPr>
        <w:t xml:space="preserve"> </w:t>
      </w:r>
    </w:p>
    <w:p w14:paraId="480F1DF4" w14:textId="77777777" w:rsidR="009449FD" w:rsidRDefault="009449FD" w:rsidP="009449FD">
      <w:pPr>
        <w:jc w:val="left"/>
        <w:rPr>
          <w:i/>
          <w:iCs/>
          <w:lang w:val="en-GB"/>
        </w:rPr>
      </w:pPr>
      <w:r w:rsidRPr="009449FD">
        <w:rPr>
          <w:lang w:val="en-GB"/>
        </w:rPr>
        <w:t xml:space="preserve">Vera </w:t>
      </w:r>
      <w:proofErr w:type="spellStart"/>
      <w:r w:rsidRPr="009449FD">
        <w:rPr>
          <w:lang w:val="en-GB"/>
        </w:rPr>
        <w:t>scientia</w:t>
      </w:r>
      <w:proofErr w:type="spellEnd"/>
      <w:r w:rsidRPr="009449FD">
        <w:rPr>
          <w:lang w:val="en-GB"/>
        </w:rPr>
        <w:t xml:space="preserve"> </w:t>
      </w:r>
      <w:proofErr w:type="spellStart"/>
      <w:r w:rsidRPr="009449FD">
        <w:rPr>
          <w:lang w:val="en-GB"/>
        </w:rPr>
        <w:t>prognosticandi</w:t>
      </w:r>
      <w:proofErr w:type="spellEnd"/>
      <w:r w:rsidRPr="009449FD">
        <w:rPr>
          <w:lang w:val="en-GB"/>
        </w:rPr>
        <w:t xml:space="preserve">: </w:t>
      </w:r>
      <w:proofErr w:type="spellStart"/>
      <w:r w:rsidRPr="009449FD">
        <w:rPr>
          <w:i/>
          <w:iCs/>
          <w:lang w:val="en-GB"/>
        </w:rPr>
        <w:t>Federik</w:t>
      </w:r>
      <w:proofErr w:type="spellEnd"/>
      <w:r w:rsidRPr="009449FD">
        <w:rPr>
          <w:i/>
          <w:iCs/>
          <w:lang w:val="en-GB"/>
        </w:rPr>
        <w:t xml:space="preserve"> </w:t>
      </w:r>
      <w:proofErr w:type="spellStart"/>
      <w:r w:rsidRPr="009449FD">
        <w:rPr>
          <w:i/>
          <w:iCs/>
          <w:lang w:val="en-GB"/>
        </w:rPr>
        <w:t>Grisogono</w:t>
      </w:r>
      <w:proofErr w:type="spellEnd"/>
      <w:r w:rsidRPr="009449FD">
        <w:rPr>
          <w:i/>
          <w:iCs/>
          <w:lang w:val="en-GB"/>
        </w:rPr>
        <w:t xml:space="preserve"> and the Reception of </w:t>
      </w:r>
    </w:p>
    <w:p w14:paraId="117DC828" w14:textId="15F51028" w:rsidR="009449FD" w:rsidRPr="009449FD" w:rsidRDefault="009449FD" w:rsidP="009449FD">
      <w:pPr>
        <w:jc w:val="left"/>
        <w:rPr>
          <w:lang w:val="en-GB"/>
        </w:rPr>
      </w:pPr>
      <w:r w:rsidRPr="009449FD">
        <w:rPr>
          <w:i/>
          <w:iCs/>
          <w:lang w:val="en-GB"/>
        </w:rPr>
        <w:t>Astrological Debates in sixteenth-century Dalmatia</w:t>
      </w:r>
      <w:r w:rsidRPr="009449FD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22</w:t>
      </w:r>
    </w:p>
    <w:p w14:paraId="08F581A9" w14:textId="77777777" w:rsidR="009449FD" w:rsidRDefault="009449FD" w:rsidP="009449FD">
      <w:pPr>
        <w:jc w:val="left"/>
        <w:rPr>
          <w:lang w:val="en-GB"/>
        </w:rPr>
      </w:pPr>
    </w:p>
    <w:p w14:paraId="13B6F1A8" w14:textId="3FE492A5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>Craig Martin</w:t>
      </w:r>
    </w:p>
    <w:p w14:paraId="12B7B93E" w14:textId="77777777" w:rsidR="009449FD" w:rsidRDefault="009449FD" w:rsidP="009449FD">
      <w:pPr>
        <w:jc w:val="left"/>
        <w:rPr>
          <w:i/>
          <w:iCs/>
          <w:lang w:val="en-GB"/>
        </w:rPr>
      </w:pPr>
      <w:r w:rsidRPr="009449FD">
        <w:rPr>
          <w:i/>
          <w:iCs/>
          <w:lang w:val="en-GB"/>
        </w:rPr>
        <w:t xml:space="preserve">Philology, observation, and medicine in Daniel </w:t>
      </w:r>
      <w:proofErr w:type="spellStart"/>
      <w:r w:rsidRPr="009449FD">
        <w:rPr>
          <w:i/>
          <w:iCs/>
          <w:lang w:val="en-GB"/>
        </w:rPr>
        <w:t>Furlanus</w:t>
      </w:r>
      <w:proofErr w:type="spellEnd"/>
      <w:r w:rsidRPr="009449FD">
        <w:rPr>
          <w:i/>
          <w:iCs/>
          <w:lang w:val="en-GB"/>
        </w:rPr>
        <w:t xml:space="preserve">’ </w:t>
      </w:r>
    </w:p>
    <w:p w14:paraId="6359D989" w14:textId="5838CBF3" w:rsidR="009449FD" w:rsidRDefault="009449FD" w:rsidP="009449FD">
      <w:pPr>
        <w:jc w:val="left"/>
        <w:rPr>
          <w:lang w:val="en-GB"/>
        </w:rPr>
      </w:pPr>
      <w:r w:rsidRPr="009449FD">
        <w:rPr>
          <w:i/>
          <w:iCs/>
          <w:lang w:val="en-GB"/>
        </w:rPr>
        <w:t xml:space="preserve">commentary on Theophrastus’ </w:t>
      </w:r>
      <w:r w:rsidRPr="009449FD">
        <w:rPr>
          <w:lang w:val="en-GB"/>
        </w:rPr>
        <w:t xml:space="preserve">De </w:t>
      </w:r>
      <w:proofErr w:type="spellStart"/>
      <w:r w:rsidRPr="009449FD">
        <w:rPr>
          <w:lang w:val="en-GB"/>
        </w:rPr>
        <w:t>ventis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44</w:t>
      </w:r>
    </w:p>
    <w:p w14:paraId="3020C59E" w14:textId="77777777" w:rsidR="009449FD" w:rsidRDefault="009449FD" w:rsidP="009449FD">
      <w:pPr>
        <w:jc w:val="left"/>
        <w:rPr>
          <w:lang w:val="en-GB"/>
        </w:rPr>
      </w:pPr>
    </w:p>
    <w:p w14:paraId="7A18C02E" w14:textId="77777777" w:rsidR="009449FD" w:rsidRDefault="009449FD" w:rsidP="009449FD">
      <w:pPr>
        <w:jc w:val="left"/>
        <w:rPr>
          <w:lang w:val="en-GB"/>
        </w:rPr>
      </w:pPr>
      <w:proofErr w:type="spellStart"/>
      <w:r w:rsidRPr="009449FD">
        <w:rPr>
          <w:lang w:val="en-GB"/>
        </w:rPr>
        <w:t>Gorana</w:t>
      </w:r>
      <w:proofErr w:type="spellEnd"/>
      <w:r w:rsidRPr="009449FD">
        <w:rPr>
          <w:lang w:val="en-GB"/>
        </w:rPr>
        <w:t xml:space="preserve"> </w:t>
      </w:r>
      <w:proofErr w:type="spellStart"/>
      <w:r w:rsidRPr="009449FD">
        <w:rPr>
          <w:lang w:val="en-GB"/>
        </w:rPr>
        <w:t>Stepanić</w:t>
      </w:r>
      <w:proofErr w:type="spellEnd"/>
      <w:r w:rsidRPr="009449FD">
        <w:rPr>
          <w:lang w:val="en-GB"/>
        </w:rPr>
        <w:t xml:space="preserve"> </w:t>
      </w:r>
    </w:p>
    <w:p w14:paraId="472E853D" w14:textId="77777777" w:rsidR="009449FD" w:rsidRDefault="009449FD" w:rsidP="009449FD">
      <w:pPr>
        <w:jc w:val="left"/>
        <w:rPr>
          <w:i/>
          <w:iCs/>
          <w:lang w:val="en-GB"/>
        </w:rPr>
      </w:pPr>
      <w:r w:rsidRPr="009449FD">
        <w:rPr>
          <w:i/>
          <w:iCs/>
          <w:lang w:val="en-GB"/>
        </w:rPr>
        <w:t xml:space="preserve">Too much to quote: the management of sources in Nikola </w:t>
      </w:r>
      <w:proofErr w:type="spellStart"/>
      <w:r w:rsidRPr="009449FD">
        <w:rPr>
          <w:i/>
          <w:iCs/>
          <w:lang w:val="en-GB"/>
        </w:rPr>
        <w:t>Vitov</w:t>
      </w:r>
      <w:proofErr w:type="spellEnd"/>
      <w:r w:rsidRPr="009449FD">
        <w:rPr>
          <w:i/>
          <w:iCs/>
          <w:lang w:val="en-GB"/>
        </w:rPr>
        <w:t xml:space="preserve"> </w:t>
      </w:r>
      <w:proofErr w:type="spellStart"/>
      <w:r w:rsidRPr="009449FD">
        <w:rPr>
          <w:i/>
          <w:iCs/>
          <w:lang w:val="en-GB"/>
        </w:rPr>
        <w:t>Gučetić’s</w:t>
      </w:r>
      <w:proofErr w:type="spellEnd"/>
      <w:r w:rsidRPr="009449FD">
        <w:rPr>
          <w:i/>
          <w:iCs/>
          <w:lang w:val="en-GB"/>
        </w:rPr>
        <w:t xml:space="preserve"> </w:t>
      </w:r>
    </w:p>
    <w:p w14:paraId="5A096866" w14:textId="331A3B6A" w:rsidR="009449FD" w:rsidRDefault="009449FD" w:rsidP="009449FD">
      <w:pPr>
        <w:jc w:val="left"/>
        <w:rPr>
          <w:lang w:val="en-GB"/>
        </w:rPr>
      </w:pPr>
      <w:r w:rsidRPr="009449FD">
        <w:rPr>
          <w:lang w:val="en-GB"/>
        </w:rPr>
        <w:t xml:space="preserve">Commentary on the first book of Aristotle’s </w:t>
      </w:r>
      <w:r w:rsidRPr="009449FD">
        <w:rPr>
          <w:i/>
          <w:iCs/>
          <w:lang w:val="en-GB"/>
        </w:rPr>
        <w:t xml:space="preserve">Rhetoric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65</w:t>
      </w:r>
    </w:p>
    <w:p w14:paraId="1F729FAE" w14:textId="77777777" w:rsidR="009449FD" w:rsidRDefault="009449FD" w:rsidP="009449FD">
      <w:pPr>
        <w:jc w:val="left"/>
        <w:rPr>
          <w:lang w:val="en-GB"/>
        </w:rPr>
      </w:pPr>
    </w:p>
    <w:p w14:paraId="2E13B34E" w14:textId="4C897F2F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 xml:space="preserve">Eva del </w:t>
      </w:r>
      <w:proofErr w:type="spellStart"/>
      <w:r>
        <w:rPr>
          <w:lang w:val="en-GB"/>
        </w:rPr>
        <w:t>Soldato</w:t>
      </w:r>
      <w:proofErr w:type="spellEnd"/>
    </w:p>
    <w:p w14:paraId="4033169A" w14:textId="106620EF" w:rsidR="009449FD" w:rsidRPr="009449FD" w:rsidRDefault="009449FD" w:rsidP="009449FD">
      <w:pPr>
        <w:jc w:val="left"/>
        <w:rPr>
          <w:i/>
          <w:iCs/>
          <w:lang w:val="en-GB"/>
        </w:rPr>
      </w:pPr>
      <w:r w:rsidRPr="009449FD">
        <w:rPr>
          <w:i/>
          <w:iCs/>
          <w:lang w:val="en-GB"/>
        </w:rPr>
        <w:t xml:space="preserve">Matej </w:t>
      </w:r>
      <w:proofErr w:type="spellStart"/>
      <w:r w:rsidRPr="009449FD">
        <w:rPr>
          <w:i/>
          <w:iCs/>
          <w:lang w:val="en-GB"/>
        </w:rPr>
        <w:t>Frkić</w:t>
      </w:r>
      <w:proofErr w:type="spellEnd"/>
      <w:r w:rsidRPr="009449FD">
        <w:rPr>
          <w:i/>
          <w:iCs/>
          <w:lang w:val="en-GB"/>
        </w:rPr>
        <w:t xml:space="preserve"> and his Enemies</w:t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 w:rsidRPr="009449FD">
        <w:rPr>
          <w:i/>
          <w:iCs/>
          <w:lang w:val="en-GB"/>
        </w:rPr>
        <w:tab/>
      </w:r>
      <w:r>
        <w:rPr>
          <w:i/>
          <w:iCs/>
          <w:lang w:val="en-GB"/>
        </w:rPr>
        <w:t xml:space="preserve"> </w:t>
      </w:r>
      <w:r w:rsidRPr="009449FD">
        <w:rPr>
          <w:lang w:val="en-GB"/>
        </w:rPr>
        <w:t>85</w:t>
      </w:r>
    </w:p>
    <w:p w14:paraId="67B7EE4F" w14:textId="77777777" w:rsidR="009449FD" w:rsidRDefault="009449FD" w:rsidP="009449FD">
      <w:pPr>
        <w:jc w:val="left"/>
        <w:rPr>
          <w:lang w:val="en-GB"/>
        </w:rPr>
      </w:pPr>
    </w:p>
    <w:p w14:paraId="7F353A99" w14:textId="22BFB5C3" w:rsidR="009449FD" w:rsidRPr="009449FD" w:rsidRDefault="009449FD" w:rsidP="009449FD">
      <w:pPr>
        <w:jc w:val="center"/>
        <w:rPr>
          <w:smallCaps/>
          <w:lang w:val="en-GB"/>
        </w:rPr>
      </w:pPr>
      <w:r w:rsidRPr="009449FD">
        <w:rPr>
          <w:smallCaps/>
          <w:lang w:val="en-GB"/>
        </w:rPr>
        <w:t>Part Two: Metaphysics</w:t>
      </w:r>
    </w:p>
    <w:p w14:paraId="0FB28064" w14:textId="77777777" w:rsidR="009449FD" w:rsidRDefault="009449FD" w:rsidP="009449FD">
      <w:pPr>
        <w:jc w:val="left"/>
        <w:rPr>
          <w:lang w:val="en-GB"/>
        </w:rPr>
      </w:pPr>
    </w:p>
    <w:p w14:paraId="2F501BAD" w14:textId="562FC985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 xml:space="preserve">Marco </w:t>
      </w:r>
      <w:proofErr w:type="spellStart"/>
      <w:r>
        <w:rPr>
          <w:lang w:val="en-GB"/>
        </w:rPr>
        <w:t>Sgarbi</w:t>
      </w:r>
      <w:proofErr w:type="spellEnd"/>
    </w:p>
    <w:p w14:paraId="41E5178B" w14:textId="0D034C79" w:rsidR="009449FD" w:rsidRDefault="009449FD" w:rsidP="009449FD">
      <w:pPr>
        <w:jc w:val="left"/>
        <w:rPr>
          <w:lang w:val="en-GB"/>
        </w:rPr>
      </w:pPr>
      <w:r w:rsidRPr="009449FD">
        <w:rPr>
          <w:i/>
          <w:iCs/>
          <w:lang w:val="en-GB"/>
        </w:rPr>
        <w:t>Vernacular Metaphysics in Renaissance Ragusa</w:t>
      </w:r>
      <w:r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105</w:t>
      </w:r>
    </w:p>
    <w:p w14:paraId="6BE8B051" w14:textId="77777777" w:rsidR="009449FD" w:rsidRDefault="009449FD" w:rsidP="009449FD">
      <w:pPr>
        <w:jc w:val="left"/>
        <w:rPr>
          <w:lang w:val="en-GB"/>
        </w:rPr>
      </w:pPr>
    </w:p>
    <w:p w14:paraId="70F01812" w14:textId="2D328240" w:rsidR="009449FD" w:rsidRDefault="009449FD" w:rsidP="009449FD">
      <w:pPr>
        <w:jc w:val="left"/>
        <w:rPr>
          <w:lang w:val="en-GB"/>
        </w:rPr>
      </w:pPr>
      <w:r>
        <w:rPr>
          <w:lang w:val="en-GB"/>
        </w:rPr>
        <w:t xml:space="preserve">Pavel </w:t>
      </w:r>
      <w:proofErr w:type="spellStart"/>
      <w:r>
        <w:rPr>
          <w:lang w:val="en-GB"/>
        </w:rPr>
        <w:t>Gregorić</w:t>
      </w:r>
      <w:proofErr w:type="spellEnd"/>
    </w:p>
    <w:p w14:paraId="08CB039F" w14:textId="39A86391" w:rsidR="009449FD" w:rsidRPr="009449FD" w:rsidRDefault="009449FD" w:rsidP="009449FD">
      <w:pPr>
        <w:jc w:val="left"/>
        <w:rPr>
          <w:lang w:val="en-GB"/>
        </w:rPr>
      </w:pPr>
      <w:r w:rsidRPr="009449FD">
        <w:rPr>
          <w:i/>
          <w:iCs/>
          <w:lang w:val="en-GB"/>
        </w:rPr>
        <w:t xml:space="preserve">The Organistic Cosmological Theory of </w:t>
      </w:r>
      <w:proofErr w:type="spellStart"/>
      <w:r w:rsidRPr="009449FD">
        <w:rPr>
          <w:i/>
          <w:iCs/>
          <w:lang w:val="en-GB"/>
        </w:rPr>
        <w:t>Antun</w:t>
      </w:r>
      <w:proofErr w:type="spellEnd"/>
      <w:r w:rsidRPr="009449FD">
        <w:rPr>
          <w:i/>
          <w:iCs/>
          <w:lang w:val="en-GB"/>
        </w:rPr>
        <w:t xml:space="preserve"> </w:t>
      </w:r>
      <w:proofErr w:type="spellStart"/>
      <w:r w:rsidRPr="009449FD">
        <w:rPr>
          <w:i/>
          <w:iCs/>
          <w:lang w:val="en-GB"/>
        </w:rPr>
        <w:t>Medo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117</w:t>
      </w:r>
    </w:p>
    <w:p w14:paraId="538C3EB6" w14:textId="77777777" w:rsidR="009449FD" w:rsidRPr="00400D52" w:rsidRDefault="009449FD" w:rsidP="009449FD">
      <w:pPr>
        <w:jc w:val="left"/>
        <w:rPr>
          <w:sz w:val="32"/>
          <w:szCs w:val="22"/>
          <w:lang w:val="en-GB"/>
        </w:rPr>
      </w:pPr>
    </w:p>
    <w:p w14:paraId="7FD11FAB" w14:textId="77777777" w:rsidR="009449FD" w:rsidRDefault="009449FD" w:rsidP="009449FD">
      <w:pPr>
        <w:jc w:val="left"/>
      </w:pPr>
      <w:r w:rsidRPr="009449FD">
        <w:t xml:space="preserve">Mihaela Girardi </w:t>
      </w:r>
      <w:proofErr w:type="spellStart"/>
      <w:r w:rsidRPr="009449FD">
        <w:t>Karšulin</w:t>
      </w:r>
      <w:proofErr w:type="spellEnd"/>
      <w:r w:rsidRPr="009449FD">
        <w:tab/>
      </w:r>
    </w:p>
    <w:p w14:paraId="121B6E51" w14:textId="77777777" w:rsidR="009449FD" w:rsidRPr="009449FD" w:rsidRDefault="009449FD" w:rsidP="009449FD">
      <w:pPr>
        <w:jc w:val="left"/>
        <w:rPr>
          <w:i/>
          <w:iCs/>
        </w:rPr>
      </w:pPr>
      <w:r w:rsidRPr="009449FD">
        <w:rPr>
          <w:i/>
          <w:iCs/>
        </w:rPr>
        <w:t>Self-</w:t>
      </w:r>
      <w:proofErr w:type="spellStart"/>
      <w:r w:rsidRPr="009449FD">
        <w:rPr>
          <w:i/>
          <w:iCs/>
        </w:rPr>
        <w:t>defence</w:t>
      </w:r>
      <w:proofErr w:type="spellEnd"/>
      <w:r w:rsidRPr="009449FD">
        <w:rPr>
          <w:i/>
          <w:iCs/>
        </w:rPr>
        <w:t xml:space="preserve"> of Aristotelianism at the turn of the seventeenth century: </w:t>
      </w:r>
    </w:p>
    <w:p w14:paraId="2F98864C" w14:textId="2690BB74" w:rsidR="00880E00" w:rsidRDefault="009449FD" w:rsidP="009449FD">
      <w:pPr>
        <w:jc w:val="left"/>
      </w:pPr>
      <w:proofErr w:type="spellStart"/>
      <w:r w:rsidRPr="009449FD">
        <w:rPr>
          <w:i/>
          <w:iCs/>
        </w:rPr>
        <w:t>Juraj</w:t>
      </w:r>
      <w:proofErr w:type="spellEnd"/>
      <w:r w:rsidRPr="009449FD">
        <w:rPr>
          <w:i/>
          <w:iCs/>
        </w:rPr>
        <w:t xml:space="preserve"> </w:t>
      </w:r>
      <w:proofErr w:type="spellStart"/>
      <w:r w:rsidRPr="009449FD">
        <w:rPr>
          <w:i/>
          <w:iCs/>
        </w:rPr>
        <w:t>Dubrovčanin</w:t>
      </w:r>
      <w:proofErr w:type="spellEnd"/>
      <w:r w:rsidRPr="009449FD">
        <w:rPr>
          <w:i/>
          <w:iCs/>
        </w:rPr>
        <w:t xml:space="preserve"> and Matej </w:t>
      </w:r>
      <w:proofErr w:type="spellStart"/>
      <w:r w:rsidRPr="009449FD">
        <w:rPr>
          <w:i/>
          <w:iCs/>
        </w:rPr>
        <w:t>Frkić</w:t>
      </w:r>
      <w:proofErr w:type="spellEnd"/>
      <w:r w:rsidRPr="009449FD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130</w:t>
      </w:r>
    </w:p>
    <w:p w14:paraId="13662D20" w14:textId="77777777" w:rsidR="009449FD" w:rsidRDefault="009449FD" w:rsidP="009449FD">
      <w:pPr>
        <w:jc w:val="left"/>
      </w:pPr>
    </w:p>
    <w:p w14:paraId="46FD2C03" w14:textId="74CD1BEB" w:rsidR="009449FD" w:rsidRPr="0096266E" w:rsidRDefault="009449FD" w:rsidP="0096266E">
      <w:pPr>
        <w:jc w:val="center"/>
        <w:rPr>
          <w:smallCaps/>
        </w:rPr>
      </w:pPr>
      <w:r w:rsidRPr="0096266E">
        <w:rPr>
          <w:smallCaps/>
        </w:rPr>
        <w:t>Part Three: Interactions with Platonism</w:t>
      </w:r>
    </w:p>
    <w:p w14:paraId="3184D1B9" w14:textId="77777777" w:rsidR="009449FD" w:rsidRDefault="009449FD" w:rsidP="009449FD">
      <w:pPr>
        <w:jc w:val="left"/>
      </w:pPr>
    </w:p>
    <w:p w14:paraId="2BBBF25B" w14:textId="77777777" w:rsidR="009449FD" w:rsidRDefault="009449FD" w:rsidP="009449FD">
      <w:pPr>
        <w:jc w:val="left"/>
        <w:rPr>
          <w:lang w:val="hr-HR"/>
        </w:rPr>
      </w:pPr>
      <w:proofErr w:type="spellStart"/>
      <w:r w:rsidRPr="009449FD">
        <w:rPr>
          <w:lang w:val="hr-HR"/>
        </w:rPr>
        <w:t>Maiko</w:t>
      </w:r>
      <w:proofErr w:type="spellEnd"/>
      <w:r w:rsidRPr="009449FD">
        <w:rPr>
          <w:lang w:val="hr-HR"/>
        </w:rPr>
        <w:t xml:space="preserve"> </w:t>
      </w:r>
      <w:proofErr w:type="spellStart"/>
      <w:r w:rsidRPr="009449FD">
        <w:rPr>
          <w:lang w:val="hr-HR"/>
        </w:rPr>
        <w:t>Favaro</w:t>
      </w:r>
      <w:proofErr w:type="spellEnd"/>
    </w:p>
    <w:p w14:paraId="325CBC9A" w14:textId="77777777" w:rsidR="009449FD" w:rsidRDefault="009449FD" w:rsidP="009449FD">
      <w:pPr>
        <w:jc w:val="left"/>
        <w:rPr>
          <w:lang w:val="hr-HR"/>
        </w:rPr>
      </w:pPr>
      <w:proofErr w:type="spellStart"/>
      <w:r w:rsidRPr="00BD63E5">
        <w:rPr>
          <w:lang w:val="hr-HR"/>
        </w:rPr>
        <w:t>Aristotelianism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lang w:val="hr-HR"/>
        </w:rPr>
        <w:t>and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lang w:val="hr-HR"/>
        </w:rPr>
        <w:t>Platonism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lang w:val="hr-HR"/>
        </w:rPr>
        <w:t>in</w:t>
      </w:r>
      <w:proofErr w:type="spellEnd"/>
      <w:r w:rsidRPr="00BD63E5">
        <w:rPr>
          <w:lang w:val="hr-HR"/>
        </w:rPr>
        <w:t xml:space="preserve"> Nikola </w:t>
      </w:r>
      <w:proofErr w:type="spellStart"/>
      <w:r w:rsidRPr="00BD63E5">
        <w:rPr>
          <w:lang w:val="hr-HR"/>
        </w:rPr>
        <w:t>Vitov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lang w:val="hr-HR"/>
        </w:rPr>
        <w:t>Gučetić’s</w:t>
      </w:r>
      <w:proofErr w:type="spellEnd"/>
      <w:r>
        <w:rPr>
          <w:lang w:val="hr-HR"/>
        </w:rPr>
        <w:t xml:space="preserve"> </w:t>
      </w:r>
    </w:p>
    <w:p w14:paraId="6990B551" w14:textId="799EC157" w:rsidR="009449FD" w:rsidRDefault="009449FD" w:rsidP="009449FD">
      <w:pPr>
        <w:jc w:val="left"/>
        <w:rPr>
          <w:lang w:val="hr-HR"/>
        </w:rPr>
      </w:pPr>
      <w:proofErr w:type="spellStart"/>
      <w:r w:rsidRPr="00BD63E5">
        <w:rPr>
          <w:i/>
          <w:iCs/>
          <w:lang w:val="hr-HR"/>
        </w:rPr>
        <w:t>Dialogo</w:t>
      </w:r>
      <w:proofErr w:type="spellEnd"/>
      <w:r w:rsidRPr="00BD63E5">
        <w:rPr>
          <w:i/>
          <w:iCs/>
          <w:lang w:val="hr-HR"/>
        </w:rPr>
        <w:t xml:space="preserve"> della </w:t>
      </w:r>
      <w:proofErr w:type="spellStart"/>
      <w:r w:rsidRPr="00BD63E5">
        <w:rPr>
          <w:i/>
          <w:iCs/>
          <w:lang w:val="hr-HR"/>
        </w:rPr>
        <w:t>bellezza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lang w:val="hr-HR"/>
        </w:rPr>
        <w:t>and</w:t>
      </w:r>
      <w:proofErr w:type="spellEnd"/>
      <w:r w:rsidRPr="00BD63E5">
        <w:rPr>
          <w:lang w:val="hr-HR"/>
        </w:rPr>
        <w:t xml:space="preserve"> </w:t>
      </w:r>
      <w:proofErr w:type="spellStart"/>
      <w:r w:rsidRPr="00BD63E5">
        <w:rPr>
          <w:i/>
          <w:iCs/>
          <w:lang w:val="hr-HR"/>
        </w:rPr>
        <w:t>Dialogo</w:t>
      </w:r>
      <w:proofErr w:type="spellEnd"/>
      <w:r w:rsidRPr="00BD63E5">
        <w:rPr>
          <w:i/>
          <w:iCs/>
          <w:lang w:val="hr-HR"/>
        </w:rPr>
        <w:t xml:space="preserve"> </w:t>
      </w:r>
      <w:proofErr w:type="spellStart"/>
      <w:r w:rsidRPr="00BD63E5">
        <w:rPr>
          <w:i/>
          <w:iCs/>
          <w:lang w:val="hr-HR"/>
        </w:rPr>
        <w:t>d’amore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144</w:t>
      </w:r>
    </w:p>
    <w:p w14:paraId="037B351E" w14:textId="77777777" w:rsidR="009449FD" w:rsidRDefault="009449FD" w:rsidP="009449FD">
      <w:pPr>
        <w:jc w:val="left"/>
        <w:rPr>
          <w:lang w:val="hr-HR"/>
        </w:rPr>
      </w:pPr>
    </w:p>
    <w:p w14:paraId="3B70125E" w14:textId="46424581" w:rsidR="009449FD" w:rsidRDefault="009449FD" w:rsidP="009449FD">
      <w:pPr>
        <w:jc w:val="left"/>
        <w:rPr>
          <w:lang w:val="hr-HR"/>
        </w:rPr>
      </w:pPr>
      <w:r>
        <w:rPr>
          <w:lang w:val="hr-HR"/>
        </w:rPr>
        <w:t>Luka Boršić</w:t>
      </w:r>
    </w:p>
    <w:p w14:paraId="4E35931B" w14:textId="0662746F" w:rsidR="009449FD" w:rsidRPr="009449FD" w:rsidRDefault="009449FD" w:rsidP="0096266E">
      <w:pPr>
        <w:jc w:val="left"/>
      </w:pPr>
      <w:proofErr w:type="spellStart"/>
      <w:r>
        <w:rPr>
          <w:i/>
          <w:iCs/>
        </w:rPr>
        <w:t>Petrić’s</w:t>
      </w:r>
      <w:proofErr w:type="spellEnd"/>
      <w:r>
        <w:rPr>
          <w:i/>
          <w:iCs/>
        </w:rPr>
        <w:t xml:space="preserve"> Nemesis: Aristotle or the Aristotelians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162</w:t>
      </w:r>
    </w:p>
    <w:p w14:paraId="7213C205" w14:textId="77777777" w:rsidR="009449FD" w:rsidRPr="009449FD" w:rsidRDefault="009449FD" w:rsidP="009449FD">
      <w:pPr>
        <w:jc w:val="left"/>
      </w:pPr>
    </w:p>
    <w:sectPr w:rsidR="009449FD" w:rsidRPr="009449FD" w:rsidSect="009449FD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C"/>
    <w:rsid w:val="001A0DBA"/>
    <w:rsid w:val="003A5361"/>
    <w:rsid w:val="003F20A9"/>
    <w:rsid w:val="00665F20"/>
    <w:rsid w:val="006D21B8"/>
    <w:rsid w:val="0073787E"/>
    <w:rsid w:val="00800A46"/>
    <w:rsid w:val="00867F5A"/>
    <w:rsid w:val="00880E00"/>
    <w:rsid w:val="009449FD"/>
    <w:rsid w:val="0096266E"/>
    <w:rsid w:val="00972916"/>
    <w:rsid w:val="00A42D5A"/>
    <w:rsid w:val="00B046AC"/>
    <w:rsid w:val="00CD26EF"/>
    <w:rsid w:val="00D72273"/>
    <w:rsid w:val="00E0125C"/>
    <w:rsid w:val="00E91C3E"/>
    <w:rsid w:val="00ED3578"/>
    <w:rsid w:val="00F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944C98"/>
  <w15:chartTrackingRefBased/>
  <w15:docId w15:val="{26E75391-E406-C14A-8720-F8DDF91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AC"/>
    <w:pPr>
      <w:suppressAutoHyphens/>
      <w:jc w:val="both"/>
    </w:pPr>
    <w:rPr>
      <w:rFonts w:ascii="Brill" w:eastAsia="Times New Roman" w:hAnsi="Brill" w:cs="Times New Roman"/>
      <w:kern w:val="0"/>
      <w:szCs w:val="20"/>
      <w:lang w:val="en-US" w:eastAsia="zh-C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21B8"/>
    <w:pPr>
      <w:keepNext/>
      <w:keepLines/>
      <w:suppressAutoHyphens w:val="0"/>
      <w:spacing w:before="24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21B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qFormat/>
    <w:rsid w:val="00972916"/>
    <w:rPr>
      <w:sz w:val="24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20A9"/>
    <w:pPr>
      <w:suppressAutoHyphens w:val="0"/>
    </w:pPr>
    <w:rPr>
      <w:rFonts w:ascii="Times New Roman" w:eastAsiaTheme="minorHAnsi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0A9"/>
    <w:rPr>
      <w:rFonts w:ascii="Times New Roman" w:hAnsi="Times New Roman" w:cs="Times New Roman"/>
      <w:sz w:val="20"/>
      <w:szCs w:val="20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E91C3E"/>
    <w:pPr>
      <w:suppressAutoHyphens w:val="0"/>
      <w:snapToGrid w:val="0"/>
      <w:spacing w:before="120" w:after="120"/>
      <w:ind w:left="862" w:right="862"/>
    </w:pPr>
    <w:rPr>
      <w:rFonts w:ascii="Times New Roman" w:eastAsiaTheme="minorHAnsi" w:hAnsi="Times New Roman" w:cstheme="minorBidi"/>
      <w:iCs/>
      <w:color w:val="404040" w:themeColor="text1" w:themeTint="BF"/>
      <w:sz w:val="22"/>
      <w:lang w:val="en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91C3E"/>
    <w:rPr>
      <w:rFonts w:ascii="Times New Roman" w:hAnsi="Times New Roman"/>
      <w:iCs/>
      <w:color w:val="404040" w:themeColor="text1" w:themeTint="BF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21B8"/>
    <w:rPr>
      <w:rFonts w:ascii="Times New Roman" w:eastAsiaTheme="majorEastAsia" w:hAnsi="Times New Roman" w:cstheme="majorBidi"/>
      <w:color w:val="000000" w:themeColor="text1"/>
      <w:sz w:val="28"/>
      <w:szCs w:val="2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D21B8"/>
    <w:rPr>
      <w:rFonts w:ascii="Times New Roman" w:eastAsiaTheme="majorEastAsia" w:hAnsi="Times New Roman" w:cstheme="majorBidi"/>
      <w:color w:val="000000" w:themeColor="tex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Gregorić</dc:creator>
  <cp:keywords/>
  <dc:description/>
  <cp:lastModifiedBy>Pavel Gregorić</cp:lastModifiedBy>
  <cp:revision>2</cp:revision>
  <dcterms:created xsi:type="dcterms:W3CDTF">2023-06-28T15:09:00Z</dcterms:created>
  <dcterms:modified xsi:type="dcterms:W3CDTF">2023-06-28T15:09:00Z</dcterms:modified>
</cp:coreProperties>
</file>